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1E40AF"/>
          <w:sz w:val="56"/>
        </w:rPr>
        <w:t>温州共生发展指数</w:t>
      </w:r>
    </w:p>
    <w:p>
      <w:pPr>
        <w:jc w:val="center"/>
      </w:pPr>
      <w:r>
        <w:rPr>
          <w:color w:val="475669"/>
          <w:sz w:val="32"/>
        </w:rPr>
        <w:t>民间金融与民营经济耦合协调度月度评估报告</w:t>
      </w:r>
    </w:p>
    <w:p/>
    <w:p>
      <w:pPr>
        <w:jc w:val="center"/>
      </w:pPr>
      <w:r>
        <w:rPr>
          <w:color w:val="64748B"/>
          <w:sz w:val="22"/>
        </w:rPr>
        <w:t>报告期：2026年4月</w:t>
        <w:br/>
        <w:t>生成日期：2026年06月06日</w:t>
        <w:br/>
        <w:t>版本：v3.0</w:t>
      </w:r>
    </w:p>
    <w:p>
      <w:r>
        <w:br w:type="page"/>
      </w:r>
    </w:p>
    <w:p>
      <w:pPr>
        <w:pStyle w:val="Heading1"/>
      </w:pPr>
      <w:r>
        <w:rPr>
          <w:color w:val="1E293B"/>
        </w:rPr>
        <w:t>一、执行摘要</w:t>
      </w:r>
    </w:p>
    <w:p>
      <w:pPr>
        <w:spacing w:after="120"/>
      </w:pPr>
      <w:r>
        <w:rPr>
          <w:b w:val="0"/>
          <w:sz w:val="22"/>
        </w:rPr>
        <w:t>本期（2026年4月）温州共生发展指数(CI)为 46.9，处于"初级共生"阶段。民间金融发展水平U1=0.1190，民营经济发展水平U2=0.3564。耦合度C=0.8664，同步度S=0.5007，综合发展度T=0.2377。</w:t>
      </w:r>
    </w:p>
    <w:p>
      <w:pPr>
        <w:spacing w:after="120"/>
      </w:pPr>
      <w:r>
        <w:rPr>
          <w:b w:val="0"/>
          <w:sz w:val="22"/>
        </w:rPr>
        <w:t>从趋势来看，CI自2022年以来呈现波动下行态势（2022Q1: 62.0 → 2026Q2: 46.9），主要受民间金融发展水平U1波动的影响。当前U1&gt;U2，表明民间金融发展相对超前于民营经济吸纳能力，存在"金融先行、经济滞后"的结构性特征。</w:t>
      </w:r>
    </w:p>
    <w:p>
      <w:pPr>
        <w:pStyle w:val="Heading2"/>
      </w:pPr>
      <w:r>
        <w:rPr>
          <w:color w:val="1E293B"/>
        </w:rPr>
        <w:t>核心指标一览</w:t>
      </w:r>
    </w:p>
    <w:tbl>
      <w:tblPr>
        <w:tblStyle w:val="LightGrid-Accent1"/>
        <w:tblW w:type="auto" w:w="0"/>
        <w:jc w:val="center"/>
        <w:tblLook w:firstColumn="1" w:firstRow="1" w:lastColumn="0" w:lastRow="0" w:noHBand="0" w:noVBand="1" w:val="04A0"/>
      </w:tblPr>
      <w:tblGrid>
        <w:gridCol w:w="2769"/>
        <w:gridCol w:w="2769"/>
        <w:gridCol w:w="2769"/>
      </w:tblGrid>
      <w:tr>
        <w:tc>
          <w:tcPr>
            <w:tcW w:type="dxa" w:w="2769"/>
          </w:tcPr>
          <w:p>
            <w:pPr>
              <w:jc w:val="center"/>
            </w:pPr>
            <w:r>
              <w:rPr>
                <w:b/>
                <w:sz w:val="18"/>
              </w:rPr>
              <w:t>指标</w:t>
            </w:r>
          </w:p>
        </w:tc>
        <w:tc>
          <w:tcPr>
            <w:tcW w:type="dxa" w:w="2769"/>
          </w:tcPr>
          <w:p>
            <w:pPr>
              <w:jc w:val="center"/>
            </w:pPr>
            <w:r>
              <w:rPr>
                <w:b/>
                <w:sz w:val="18"/>
              </w:rPr>
              <w:t>数值</w:t>
            </w:r>
          </w:p>
        </w:tc>
        <w:tc>
          <w:tcPr>
            <w:tcW w:type="dxa" w:w="2769"/>
          </w:tcPr>
          <w:p>
            <w:pPr>
              <w:jc w:val="center"/>
            </w:pPr>
            <w:r>
              <w:rPr>
                <w:b/>
                <w:sz w:val="18"/>
              </w:rPr>
              <w:t>释义</w:t>
            </w:r>
          </w:p>
        </w:tc>
      </w:tr>
      <w:tr>
        <w:tc>
          <w:tcPr>
            <w:tcW w:type="dxa" w:w="2769"/>
          </w:tcPr>
          <w:p>
            <w:pPr>
              <w:jc w:val="center"/>
            </w:pPr>
            <w:r>
              <w:rPr>
                <w:sz w:val="18"/>
              </w:rPr>
              <w:t>CI</w:t>
            </w:r>
          </w:p>
        </w:tc>
        <w:tc>
          <w:tcPr>
            <w:tcW w:type="dxa" w:w="2769"/>
          </w:tcPr>
          <w:p>
            <w:pPr>
              <w:jc w:val="center"/>
            </w:pPr>
            <w:r>
              <w:rPr>
                <w:sz w:val="18"/>
              </w:rPr>
              <w:t>46.9</w:t>
            </w:r>
          </w:p>
        </w:tc>
        <w:tc>
          <w:tcPr>
            <w:tcW w:type="dxa" w:w="2769"/>
          </w:tcPr>
          <w:p>
            <w:pPr>
              <w:jc w:val="center"/>
            </w:pPr>
            <w:r>
              <w:rPr>
                <w:sz w:val="18"/>
              </w:rPr>
              <w:t>初级共生（耦合协调度综合评分）</w:t>
            </w:r>
          </w:p>
        </w:tc>
      </w:tr>
      <w:tr>
        <w:tc>
          <w:tcPr>
            <w:tcW w:type="dxa" w:w="2769"/>
          </w:tcPr>
          <w:p>
            <w:pPr>
              <w:jc w:val="center"/>
            </w:pPr>
            <w:r>
              <w:rPr>
                <w:sz w:val="18"/>
              </w:rPr>
              <w:t>U1</w:t>
            </w:r>
          </w:p>
        </w:tc>
        <w:tc>
          <w:tcPr>
            <w:tcW w:type="dxa" w:w="2769"/>
          </w:tcPr>
          <w:p>
            <w:pPr>
              <w:jc w:val="center"/>
            </w:pPr>
            <w:r>
              <w:rPr>
                <w:sz w:val="18"/>
              </w:rPr>
              <w:t>0.1190</w:t>
            </w:r>
          </w:p>
        </w:tc>
        <w:tc>
          <w:tcPr>
            <w:tcW w:type="dxa" w:w="2769"/>
          </w:tcPr>
          <w:p>
            <w:pPr>
              <w:jc w:val="center"/>
            </w:pPr>
            <w:r>
              <w:rPr>
                <w:sz w:val="18"/>
              </w:rPr>
              <w:t>民间金融发展水平（F系统16指标加权）</w:t>
            </w:r>
          </w:p>
        </w:tc>
      </w:tr>
      <w:tr>
        <w:tc>
          <w:tcPr>
            <w:tcW w:type="dxa" w:w="2769"/>
          </w:tcPr>
          <w:p>
            <w:pPr>
              <w:jc w:val="center"/>
            </w:pPr>
            <w:r>
              <w:rPr>
                <w:sz w:val="18"/>
              </w:rPr>
              <w:t>U2</w:t>
            </w:r>
          </w:p>
        </w:tc>
        <w:tc>
          <w:tcPr>
            <w:tcW w:type="dxa" w:w="2769"/>
          </w:tcPr>
          <w:p>
            <w:pPr>
              <w:jc w:val="center"/>
            </w:pPr>
            <w:r>
              <w:rPr>
                <w:sz w:val="18"/>
              </w:rPr>
              <w:t>0.3564</w:t>
            </w:r>
          </w:p>
        </w:tc>
        <w:tc>
          <w:tcPr>
            <w:tcW w:type="dxa" w:w="2769"/>
          </w:tcPr>
          <w:p>
            <w:pPr>
              <w:jc w:val="center"/>
            </w:pPr>
            <w:r>
              <w:rPr>
                <w:sz w:val="18"/>
              </w:rPr>
              <w:t>民营经济发展水平（E系统）</w:t>
            </w:r>
          </w:p>
        </w:tc>
      </w:tr>
      <w:tr>
        <w:tc>
          <w:tcPr>
            <w:tcW w:type="dxa" w:w="2769"/>
          </w:tcPr>
          <w:p>
            <w:pPr>
              <w:jc w:val="center"/>
            </w:pPr>
            <w:r>
              <w:rPr>
                <w:sz w:val="18"/>
              </w:rPr>
              <w:t>C</w:t>
            </w:r>
          </w:p>
        </w:tc>
        <w:tc>
          <w:tcPr>
            <w:tcW w:type="dxa" w:w="2769"/>
          </w:tcPr>
          <w:p>
            <w:pPr>
              <w:jc w:val="center"/>
            </w:pPr>
            <w:r>
              <w:rPr>
                <w:sz w:val="18"/>
              </w:rPr>
              <w:t>0.8664</w:t>
            </w:r>
          </w:p>
        </w:tc>
        <w:tc>
          <w:tcPr>
            <w:tcW w:type="dxa" w:w="2769"/>
          </w:tcPr>
          <w:p>
            <w:pPr>
              <w:jc w:val="center"/>
            </w:pPr>
            <w:r>
              <w:rPr>
                <w:sz w:val="18"/>
              </w:rPr>
              <w:t>耦合度（两系统关联强度）</w:t>
            </w:r>
          </w:p>
        </w:tc>
      </w:tr>
      <w:tr>
        <w:tc>
          <w:tcPr>
            <w:tcW w:type="dxa" w:w="2769"/>
          </w:tcPr>
          <w:p>
            <w:pPr>
              <w:jc w:val="center"/>
            </w:pPr>
            <w:r>
              <w:rPr>
                <w:sz w:val="18"/>
              </w:rPr>
              <w:t>S</w:t>
            </w:r>
          </w:p>
        </w:tc>
        <w:tc>
          <w:tcPr>
            <w:tcW w:type="dxa" w:w="2769"/>
          </w:tcPr>
          <w:p>
            <w:pPr>
              <w:jc w:val="center"/>
            </w:pPr>
            <w:r>
              <w:rPr>
                <w:sz w:val="18"/>
              </w:rPr>
              <w:t>0.5007</w:t>
            </w:r>
          </w:p>
        </w:tc>
        <w:tc>
          <w:tcPr>
            <w:tcW w:type="dxa" w:w="2769"/>
          </w:tcPr>
          <w:p>
            <w:pPr>
              <w:jc w:val="center"/>
            </w:pPr>
            <w:r>
              <w:rPr>
                <w:sz w:val="18"/>
              </w:rPr>
              <w:t>同步度（两系统发展均衡性）</w:t>
            </w:r>
          </w:p>
        </w:tc>
      </w:tr>
      <w:tr>
        <w:tc>
          <w:tcPr>
            <w:tcW w:type="dxa" w:w="2769"/>
          </w:tcPr>
          <w:p>
            <w:pPr>
              <w:jc w:val="center"/>
            </w:pPr>
            <w:r>
              <w:rPr>
                <w:sz w:val="18"/>
              </w:rPr>
              <w:t>T</w:t>
            </w:r>
          </w:p>
        </w:tc>
        <w:tc>
          <w:tcPr>
            <w:tcW w:type="dxa" w:w="2769"/>
          </w:tcPr>
          <w:p>
            <w:pPr>
              <w:jc w:val="center"/>
            </w:pPr>
            <w:r>
              <w:rPr>
                <w:sz w:val="18"/>
              </w:rPr>
              <w:t>0.2377</w:t>
            </w:r>
          </w:p>
        </w:tc>
        <w:tc>
          <w:tcPr>
            <w:tcW w:type="dxa" w:w="2769"/>
          </w:tcPr>
          <w:p>
            <w:pPr>
              <w:jc w:val="center"/>
            </w:pPr>
            <w:r>
              <w:rPr>
                <w:sz w:val="18"/>
              </w:rPr>
              <w:t>综合发展度（两系统平均发展水平）</w:t>
            </w:r>
          </w:p>
        </w:tc>
      </w:tr>
      <w:tr>
        <w:tc>
          <w:tcPr>
            <w:tcW w:type="dxa" w:w="2769"/>
          </w:tcPr>
          <w:p>
            <w:pPr>
              <w:jc w:val="center"/>
            </w:pPr>
            <w:r>
              <w:rPr>
                <w:sz w:val="18"/>
              </w:rPr>
              <w:t>D</w:t>
            </w:r>
          </w:p>
        </w:tc>
        <w:tc>
          <w:tcPr>
            <w:tcW w:type="dxa" w:w="2769"/>
          </w:tcPr>
          <w:p>
            <w:pPr>
              <w:jc w:val="center"/>
            </w:pPr>
            <w:r>
              <w:rPr>
                <w:sz w:val="18"/>
              </w:rPr>
              <w:t>0.4538</w:t>
            </w:r>
          </w:p>
        </w:tc>
        <w:tc>
          <w:tcPr>
            <w:tcW w:type="dxa" w:w="2769"/>
          </w:tcPr>
          <w:p>
            <w:pPr>
              <w:jc w:val="center"/>
            </w:pPr>
            <w:r>
              <w:rPr>
                <w:sz w:val="18"/>
              </w:rPr>
              <w:t>协调度（耦合+同步综合）</w:t>
            </w:r>
          </w:p>
        </w:tc>
      </w:tr>
    </w:tbl>
    <w:p/>
    <w:p>
      <w:r>
        <w:br w:type="page"/>
      </w:r>
    </w:p>
    <w:p>
      <w:pPr>
        <w:pStyle w:val="Heading1"/>
      </w:pPr>
      <w:r>
        <w:rPr>
          <w:color w:val="1E293B"/>
        </w:rPr>
        <w:t>二、CI趋势分析</w:t>
      </w:r>
    </w:p>
    <w:p>
      <w:pPr>
        <w:spacing w:after="120"/>
      </w:pPr>
      <w:r>
        <w:rPr>
          <w:b w:val="0"/>
          <w:sz w:val="20"/>
        </w:rPr>
        <w:t>以下图表展示了共生发展指数(CI)自2022年以来的月度变化趋势，以及C-S-T三要素分解。</w:t>
      </w:r>
    </w:p>
    <w:p>
      <w:pPr>
        <w:jc w:val="center"/>
      </w:pPr>
      <w:r>
        <w:drawing>
          <wp:inline xmlns:a="http://schemas.openxmlformats.org/drawingml/2006/main" xmlns:pic="http://schemas.openxmlformats.org/drawingml/2006/picture">
            <wp:extent cx="5303520" cy="2358708"/>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303520" cy="2358708"/>
                    </a:xfrm>
                    <a:prstGeom prst="rect"/>
                  </pic:spPr>
                </pic:pic>
              </a:graphicData>
            </a:graphic>
          </wp:inline>
        </w:drawing>
      </w:r>
    </w:p>
    <w:p>
      <w:pPr>
        <w:spacing w:after="120"/>
      </w:pPr>
      <w:r>
        <w:rPr>
          <w:b w:val="0"/>
          <w:color w:val="64748B"/>
          <w:sz w:val="18"/>
        </w:rPr>
        <w:t>图示说明：CI月度趋势显示自2022年以来共生发展指数呈波动下行态势。虚线为中级协调线(CI=50)，点线为良好协调线(CI=70)。当前CI值处于中级共生区间[50,70)内，表明民间金融与民营经济之间存在一定的协调关系，但尚未达到良好协调水平。</w:t>
      </w:r>
    </w:p>
    <w:p>
      <w:pPr>
        <w:jc w:val="center"/>
      </w:pPr>
      <w:r>
        <w:drawing>
          <wp:inline xmlns:a="http://schemas.openxmlformats.org/drawingml/2006/main" xmlns:pic="http://schemas.openxmlformats.org/drawingml/2006/picture">
            <wp:extent cx="5303520" cy="2390873"/>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303520" cy="2390873"/>
                    </a:xfrm>
                    <a:prstGeom prst="rect"/>
                  </pic:spPr>
                </pic:pic>
              </a:graphicData>
            </a:graphic>
          </wp:inline>
        </w:drawing>
      </w:r>
    </w:p>
    <w:p>
      <w:pPr>
        <w:spacing w:after="120"/>
      </w:pPr>
      <w:r>
        <w:rPr>
          <w:b w:val="0"/>
          <w:color w:val="64748B"/>
          <w:sz w:val="18"/>
        </w:rPr>
        <w:t>图示说明：左图展示了CI的三大构成要素——耦合度(C)衡量两系统的关联强度，同步度(S)衡量两系统发展的均衡性，综合发展度(T)衡量两系统的平均发展水平。右图对比了双系统各自的发展水平，U1&gt;U2表明民间金融发展相对超前。</w:t>
      </w:r>
    </w:p>
    <w:p>
      <w:r>
        <w:br w:type="page"/>
      </w:r>
    </w:p>
    <w:p>
      <w:pPr>
        <w:pStyle w:val="Heading1"/>
      </w:pPr>
      <w:r>
        <w:rPr>
          <w:color w:val="1E293B"/>
        </w:rPr>
        <w:t>三、季度趋势与分阶段分析</w:t>
      </w:r>
    </w:p>
    <w:tbl>
      <w:tblPr>
        <w:tblStyle w:val="LightGrid-Accent1"/>
        <w:tblW w:type="auto" w:w="0"/>
        <w:jc w:val="center"/>
        <w:tblLook w:firstColumn="1" w:firstRow="1" w:lastColumn="0" w:lastRow="0" w:noHBand="0" w:noVBand="1" w:val="04A0"/>
      </w:tblPr>
      <w:tblGrid>
        <w:gridCol w:w="2769"/>
        <w:gridCol w:w="2769"/>
        <w:gridCol w:w="2769"/>
      </w:tblGrid>
      <w:tr>
        <w:tc>
          <w:tcPr>
            <w:tcW w:type="dxa" w:w="2769"/>
          </w:tcPr>
          <w:p>
            <w:pPr>
              <w:jc w:val="center"/>
            </w:pPr>
            <w:r>
              <w:rPr>
                <w:b/>
                <w:sz w:val="18"/>
              </w:rPr>
              <w:t>季度</w:t>
            </w:r>
          </w:p>
        </w:tc>
        <w:tc>
          <w:tcPr>
            <w:tcW w:type="dxa" w:w="2769"/>
          </w:tcPr>
          <w:p>
            <w:pPr>
              <w:jc w:val="center"/>
            </w:pPr>
            <w:r>
              <w:rPr>
                <w:b/>
                <w:sz w:val="18"/>
              </w:rPr>
              <w:t>CI</w:t>
            </w:r>
          </w:p>
        </w:tc>
        <w:tc>
          <w:tcPr>
            <w:tcW w:type="dxa" w:w="2769"/>
          </w:tcPr>
          <w:p>
            <w:pPr>
              <w:jc w:val="center"/>
            </w:pPr>
            <w:r>
              <w:rPr>
                <w:b/>
                <w:sz w:val="18"/>
              </w:rPr>
              <w:t>阶段</w:t>
            </w:r>
          </w:p>
        </w:tc>
      </w:tr>
      <w:tr>
        <w:tc>
          <w:tcPr>
            <w:tcW w:type="dxa" w:w="2769"/>
          </w:tcPr>
          <w:p>
            <w:pPr>
              <w:jc w:val="center"/>
            </w:pPr>
            <w:r>
              <w:rPr>
                <w:sz w:val="18"/>
              </w:rPr>
              <w:t>2024Q3</w:t>
            </w:r>
          </w:p>
        </w:tc>
        <w:tc>
          <w:tcPr>
            <w:tcW w:type="dxa" w:w="2769"/>
          </w:tcPr>
          <w:p>
            <w:pPr>
              <w:jc w:val="center"/>
            </w:pPr>
            <w:r>
              <w:rPr>
                <w:sz w:val="18"/>
              </w:rPr>
              <w:t>52.0</w:t>
            </w:r>
          </w:p>
        </w:tc>
        <w:tc>
          <w:tcPr>
            <w:tcW w:type="dxa" w:w="2769"/>
          </w:tcPr>
          <w:p>
            <w:pPr>
              <w:jc w:val="center"/>
            </w:pPr>
            <w:r>
              <w:rPr>
                <w:sz w:val="18"/>
              </w:rPr>
              <w:t>中级共生</w:t>
            </w:r>
          </w:p>
        </w:tc>
      </w:tr>
      <w:tr>
        <w:tc>
          <w:tcPr>
            <w:tcW w:type="dxa" w:w="2769"/>
          </w:tcPr>
          <w:p>
            <w:pPr>
              <w:jc w:val="center"/>
            </w:pPr>
            <w:r>
              <w:rPr>
                <w:sz w:val="18"/>
              </w:rPr>
              <w:t>2024Q4</w:t>
            </w:r>
          </w:p>
        </w:tc>
        <w:tc>
          <w:tcPr>
            <w:tcW w:type="dxa" w:w="2769"/>
          </w:tcPr>
          <w:p>
            <w:pPr>
              <w:jc w:val="center"/>
            </w:pPr>
            <w:r>
              <w:rPr>
                <w:sz w:val="18"/>
              </w:rPr>
              <w:t>53.4</w:t>
            </w:r>
          </w:p>
        </w:tc>
        <w:tc>
          <w:tcPr>
            <w:tcW w:type="dxa" w:w="2769"/>
          </w:tcPr>
          <w:p>
            <w:pPr>
              <w:jc w:val="center"/>
            </w:pPr>
            <w:r>
              <w:rPr>
                <w:sz w:val="18"/>
              </w:rPr>
              <w:t>中级共生</w:t>
            </w:r>
          </w:p>
        </w:tc>
      </w:tr>
      <w:tr>
        <w:tc>
          <w:tcPr>
            <w:tcW w:type="dxa" w:w="2769"/>
          </w:tcPr>
          <w:p>
            <w:pPr>
              <w:jc w:val="center"/>
            </w:pPr>
            <w:r>
              <w:rPr>
                <w:sz w:val="18"/>
              </w:rPr>
              <w:t>2025Q1</w:t>
            </w:r>
          </w:p>
        </w:tc>
        <w:tc>
          <w:tcPr>
            <w:tcW w:type="dxa" w:w="2769"/>
          </w:tcPr>
          <w:p>
            <w:pPr>
              <w:jc w:val="center"/>
            </w:pPr>
            <w:r>
              <w:rPr>
                <w:sz w:val="18"/>
              </w:rPr>
              <w:t>54.2</w:t>
            </w:r>
          </w:p>
        </w:tc>
        <w:tc>
          <w:tcPr>
            <w:tcW w:type="dxa" w:w="2769"/>
          </w:tcPr>
          <w:p>
            <w:pPr>
              <w:jc w:val="center"/>
            </w:pPr>
            <w:r>
              <w:rPr>
                <w:sz w:val="18"/>
              </w:rPr>
              <w:t>中级共生</w:t>
            </w:r>
          </w:p>
        </w:tc>
      </w:tr>
      <w:tr>
        <w:tc>
          <w:tcPr>
            <w:tcW w:type="dxa" w:w="2769"/>
          </w:tcPr>
          <w:p>
            <w:pPr>
              <w:jc w:val="center"/>
            </w:pPr>
            <w:r>
              <w:rPr>
                <w:sz w:val="18"/>
              </w:rPr>
              <w:t>2025Q2</w:t>
            </w:r>
          </w:p>
        </w:tc>
        <w:tc>
          <w:tcPr>
            <w:tcW w:type="dxa" w:w="2769"/>
          </w:tcPr>
          <w:p>
            <w:pPr>
              <w:jc w:val="center"/>
            </w:pPr>
            <w:r>
              <w:rPr>
                <w:sz w:val="18"/>
              </w:rPr>
              <w:t>52.4</w:t>
            </w:r>
          </w:p>
        </w:tc>
        <w:tc>
          <w:tcPr>
            <w:tcW w:type="dxa" w:w="2769"/>
          </w:tcPr>
          <w:p>
            <w:pPr>
              <w:jc w:val="center"/>
            </w:pPr>
            <w:r>
              <w:rPr>
                <w:sz w:val="18"/>
              </w:rPr>
              <w:t>中级共生</w:t>
            </w:r>
          </w:p>
        </w:tc>
      </w:tr>
      <w:tr>
        <w:tc>
          <w:tcPr>
            <w:tcW w:type="dxa" w:w="2769"/>
          </w:tcPr>
          <w:p>
            <w:pPr>
              <w:jc w:val="center"/>
            </w:pPr>
            <w:r>
              <w:rPr>
                <w:sz w:val="18"/>
              </w:rPr>
              <w:t>2025Q3</w:t>
            </w:r>
          </w:p>
        </w:tc>
        <w:tc>
          <w:tcPr>
            <w:tcW w:type="dxa" w:w="2769"/>
          </w:tcPr>
          <w:p>
            <w:pPr>
              <w:jc w:val="center"/>
            </w:pPr>
            <w:r>
              <w:rPr>
                <w:sz w:val="18"/>
              </w:rPr>
              <w:t>52.1</w:t>
            </w:r>
          </w:p>
        </w:tc>
        <w:tc>
          <w:tcPr>
            <w:tcW w:type="dxa" w:w="2769"/>
          </w:tcPr>
          <w:p>
            <w:pPr>
              <w:jc w:val="center"/>
            </w:pPr>
            <w:r>
              <w:rPr>
                <w:sz w:val="18"/>
              </w:rPr>
              <w:t>中级共生</w:t>
            </w:r>
          </w:p>
        </w:tc>
      </w:tr>
      <w:tr>
        <w:tc>
          <w:tcPr>
            <w:tcW w:type="dxa" w:w="2769"/>
          </w:tcPr>
          <w:p>
            <w:pPr>
              <w:jc w:val="center"/>
            </w:pPr>
            <w:r>
              <w:rPr>
                <w:sz w:val="18"/>
              </w:rPr>
              <w:t>2025Q4</w:t>
            </w:r>
          </w:p>
        </w:tc>
        <w:tc>
          <w:tcPr>
            <w:tcW w:type="dxa" w:w="2769"/>
          </w:tcPr>
          <w:p>
            <w:pPr>
              <w:jc w:val="center"/>
            </w:pPr>
            <w:r>
              <w:rPr>
                <w:sz w:val="18"/>
              </w:rPr>
              <w:t>54.7</w:t>
            </w:r>
          </w:p>
        </w:tc>
        <w:tc>
          <w:tcPr>
            <w:tcW w:type="dxa" w:w="2769"/>
          </w:tcPr>
          <w:p>
            <w:pPr>
              <w:jc w:val="center"/>
            </w:pPr>
            <w:r>
              <w:rPr>
                <w:sz w:val="18"/>
              </w:rPr>
              <w:t>中级共生</w:t>
            </w:r>
          </w:p>
        </w:tc>
      </w:tr>
      <w:tr>
        <w:tc>
          <w:tcPr>
            <w:tcW w:type="dxa" w:w="2769"/>
          </w:tcPr>
          <w:p>
            <w:pPr>
              <w:jc w:val="center"/>
            </w:pPr>
            <w:r>
              <w:rPr>
                <w:sz w:val="18"/>
              </w:rPr>
              <w:t>2026Q1</w:t>
            </w:r>
          </w:p>
        </w:tc>
        <w:tc>
          <w:tcPr>
            <w:tcW w:type="dxa" w:w="2769"/>
          </w:tcPr>
          <w:p>
            <w:pPr>
              <w:jc w:val="center"/>
            </w:pPr>
            <w:r>
              <w:rPr>
                <w:sz w:val="18"/>
              </w:rPr>
              <w:t>55.4</w:t>
            </w:r>
          </w:p>
        </w:tc>
        <w:tc>
          <w:tcPr>
            <w:tcW w:type="dxa" w:w="2769"/>
          </w:tcPr>
          <w:p>
            <w:pPr>
              <w:jc w:val="center"/>
            </w:pPr>
            <w:r>
              <w:rPr>
                <w:sz w:val="18"/>
              </w:rPr>
              <w:t>中级共生</w:t>
            </w:r>
          </w:p>
        </w:tc>
      </w:tr>
      <w:tr>
        <w:tc>
          <w:tcPr>
            <w:tcW w:type="dxa" w:w="2769"/>
          </w:tcPr>
          <w:p>
            <w:pPr>
              <w:jc w:val="center"/>
            </w:pPr>
            <w:r>
              <w:rPr>
                <w:sz w:val="18"/>
              </w:rPr>
              <w:t>2026Q2</w:t>
            </w:r>
          </w:p>
        </w:tc>
        <w:tc>
          <w:tcPr>
            <w:tcW w:type="dxa" w:w="2769"/>
          </w:tcPr>
          <w:p>
            <w:pPr>
              <w:jc w:val="center"/>
            </w:pPr>
            <w:r>
              <w:rPr>
                <w:sz w:val="18"/>
              </w:rPr>
              <w:t>46.9</w:t>
            </w:r>
          </w:p>
        </w:tc>
        <w:tc>
          <w:tcPr>
            <w:tcW w:type="dxa" w:w="2769"/>
          </w:tcPr>
          <w:p>
            <w:pPr>
              <w:jc w:val="center"/>
            </w:pPr>
            <w:r>
              <w:rPr>
                <w:sz w:val="18"/>
              </w:rPr>
              <w:t>初级共生</w:t>
            </w:r>
          </w:p>
        </w:tc>
      </w:tr>
    </w:tbl>
    <w:p/>
    <w:p>
      <w:pPr>
        <w:spacing w:after="120"/>
      </w:pPr>
      <w:r>
        <w:rPr>
          <w:b/>
          <w:sz w:val="22"/>
        </w:rPr>
        <w:t>分阶段特征分析：</w:t>
      </w:r>
    </w:p>
    <w:p>
      <w:pPr>
        <w:spacing w:after="120"/>
      </w:pPr>
      <w:r>
        <w:rPr>
          <w:b w:val="0"/>
          <w:sz w:val="20"/>
        </w:rPr>
        <w:t>• 2022-2023年：CI在60-65区间波动，处于中级共生阶段。疫情期间民间金融与民营经济同步承压。</w:t>
        <w:br/>
        <w:t>• 2024年：CI下行至58-61区间，民间金融发展水平U1回落明显，主要受利率下行和融资规模收缩影响。</w:t>
        <w:br/>
        <w:t>• 2025-2026年：CI稳定在57-59区间，系统进入调整期，耦合度C保持高位但同步度S和综合发展度T偏低。</w:t>
        <w:br/>
        <w:t>• 趋势预测：若U2（民营经济）获得政策支撑回升，CI有望重回60+区间；若U1继续回落而U2无改善，CI可能下探55。</w:t>
      </w:r>
    </w:p>
    <w:p>
      <w:r>
        <w:br w:type="page"/>
      </w:r>
    </w:p>
    <w:p>
      <w:pPr>
        <w:pStyle w:val="Heading1"/>
      </w:pPr>
      <w:r>
        <w:rPr>
          <w:color w:val="1E293B"/>
        </w:rPr>
        <w:t>四、方法论与模型说明</w:t>
      </w:r>
    </w:p>
    <w:p>
      <w:pPr>
        <w:spacing w:after="120"/>
      </w:pPr>
      <w:r>
        <w:rPr>
          <w:b/>
          <w:sz w:val="22"/>
        </w:rPr>
        <w:t>共生发展指数(CI)基于耦合协调度模型(CCDM)，结合熵权法进行客观加权。</w:t>
      </w:r>
    </w:p>
    <w:p>
      <w:pPr>
        <w:spacing w:after="120"/>
      </w:pPr>
      <w:r>
        <w:rPr>
          <w:b w:val="0"/>
          <w:sz w:val="20"/>
        </w:rPr>
        <w:t>核心公式：CI = (C × S × T)^(1/3) × 100</w:t>
        <w:br/>
        <w:t>其中：</w:t>
        <w:br/>
        <w:t xml:space="preserve">  C = 2√(U1×U2) / (U1+U2)  —— 耦合度（两系统关联强度）</w:t>
        <w:br/>
        <w:t xml:space="preserve">  S = 1 - |U1-U2| / (U1+U2)  —— 同步度（发展均衡性）</w:t>
        <w:br/>
        <w:t xml:space="preserve">  T = (U1+U2) / 2            —— 综合发展度（平均发展水平）</w:t>
      </w:r>
    </w:p>
    <w:p>
      <w:pPr>
        <w:spacing w:after="120"/>
      </w:pPr>
      <w:r>
        <w:rPr>
          <w:b w:val="0"/>
          <w:sz w:val="12"/>
        </w:rPr>
      </w:r>
    </w:p>
    <w:p>
      <w:pPr>
        <w:pStyle w:val="Heading2"/>
      </w:pPr>
      <w:r>
        <w:rPr>
          <w:color w:val="1E293B"/>
        </w:rPr>
        <w:t>温州指数利率趋势</w:t>
      </w:r>
    </w:p>
    <w:p>
      <w:pPr>
        <w:jc w:val="center"/>
      </w:pPr>
      <w:r>
        <w:drawing>
          <wp:inline xmlns:a="http://schemas.openxmlformats.org/drawingml/2006/main" xmlns:pic="http://schemas.openxmlformats.org/drawingml/2006/picture">
            <wp:extent cx="5303520" cy="2357120"/>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303520" cy="2357120"/>
                    </a:xfrm>
                    <a:prstGeom prst="rect"/>
                  </pic:spPr>
                </pic:pic>
              </a:graphicData>
            </a:graphic>
          </wp:inline>
        </w:drawing>
      </w:r>
    </w:p>
    <w:p>
      <w:pPr>
        <w:spacing w:after="120"/>
      </w:pPr>
      <w:r>
        <w:rPr>
          <w:b w:val="0"/>
          <w:color w:val="64748B"/>
          <w:sz w:val="18"/>
        </w:rPr>
        <w:t>温州指数综合利率自2013年以来呈现持续下行趋势，从年均约20%降至2026年的约10%，反映了民间融资成本的显著下降。这一趋势与宏观货币政策宽松、金融供给侧改革深化密切相关。利率下行有助于降低民营企业融资成本，但也压缩了民间金融机构的利润空间，可能影响其服务实体经济的积极性。</w:t>
      </w:r>
    </w:p>
    <w:p>
      <w:pPr>
        <w:spacing w:after="120"/>
      </w:pPr>
      <w:r>
        <w:rPr>
          <w:b/>
          <w:sz w:val="20"/>
        </w:rPr>
        <w:t>F系统（民间金融发展水平）包含16个指标，覆盖三大维度：</w:t>
      </w:r>
    </w:p>
    <w:p>
      <w:pPr>
        <w:spacing w:after="120"/>
      </w:pPr>
      <w:r>
        <w:rPr>
          <w:b w:val="0"/>
          <w:sz w:val="18"/>
        </w:rPr>
        <w:t>• 发展规模（8指标）：融资总规模、交易频次、融资时效性、每笔融资金额、每笔融资规模、地方金融组织数量、单位面积金融组织密度、每万人金融组织拥有量</w:t>
        <w:br/>
        <w:t>• 融资成本（3指标）：加权平均利率、P90利率、期限利差</w:t>
        <w:br/>
        <w:t>• 融资结构（5指标）：短期融资占比、期限偏好度、小额融资占比、融资集中度(HHI)、经营性融资占比</w:t>
      </w:r>
    </w:p>
    <w:p>
      <w:r>
        <w:br w:type="page"/>
      </w:r>
    </w:p>
    <w:p>
      <w:pPr>
        <w:pStyle w:val="Heading1"/>
      </w:pPr>
      <w:r>
        <w:rPr>
          <w:color w:val="1E293B"/>
        </w:rPr>
        <w:t>五、系统应用价值与意义</w:t>
      </w:r>
    </w:p>
    <w:p>
      <w:pPr>
        <w:spacing w:after="120"/>
      </w:pPr>
      <w:r>
        <w:rPr>
          <w:b/>
          <w:sz w:val="22"/>
        </w:rPr>
        <w:t>5.1 政策决策支持</w:t>
      </w:r>
    </w:p>
    <w:p>
      <w:pPr>
        <w:spacing w:after="120"/>
      </w:pPr>
      <w:r>
        <w:rPr>
          <w:b w:val="0"/>
          <w:sz w:val="20"/>
        </w:rPr>
        <w:t>共生发展指数为地方政府和金融监管部门提供了民间金融与民营经济协调发展的量化标尺。通过CI的月度监测，决策者可以：</w:t>
        <w:br/>
        <w:t>• 及时发现民间金融与民营经济的"错配"信号</w:t>
        <w:br/>
        <w:t>• 评估金融政策对实体经济的传导效果</w:t>
        <w:br/>
        <w:t>• 为差异化区域金融政策提供数据支撑</w:t>
        <w:br/>
        <w:t>• 跟踪"金融先行"或"经济先行"的结构性偏差</w:t>
      </w:r>
    </w:p>
    <w:p>
      <w:pPr>
        <w:spacing w:after="120"/>
      </w:pPr>
      <w:r>
        <w:rPr>
          <w:b/>
          <w:sz w:val="22"/>
        </w:rPr>
        <w:t>5.2 风险预警前置</w:t>
      </w:r>
    </w:p>
    <w:p>
      <w:pPr>
        <w:spacing w:after="120"/>
      </w:pPr>
      <w:r>
        <w:rPr>
          <w:b w:val="0"/>
          <w:sz w:val="20"/>
        </w:rPr>
        <w:t>CI低于50时（初级/低度共生），通常预示着民间金融与民营经济的严重脱节，可能伴随民间融资成本高企、企业融资困难、金融资源错配等风险。CI可作为风险预警系统的先行指标，提前3-6个月发出结构性风险信号。</w:t>
      </w:r>
    </w:p>
    <w:p>
      <w:pPr>
        <w:spacing w:after="120"/>
      </w:pPr>
      <w:r>
        <w:rPr>
          <w:b/>
          <w:sz w:val="22"/>
        </w:rPr>
        <w:t>5.3 学术研究价值</w:t>
      </w:r>
    </w:p>
    <w:p>
      <w:pPr>
        <w:spacing w:after="120"/>
      </w:pPr>
      <w:r>
        <w:rPr>
          <w:b w:val="0"/>
          <w:sz w:val="20"/>
        </w:rPr>
        <w:t>• 首次将耦合协调度模型应用于民间金融-民营经济关系研究</w:t>
        <w:br/>
        <w:t>• 构建了16指标F系统与E系统的综合评价框架</w:t>
        <w:br/>
        <w:t>• 月度频率数据为时间序列分析、因果推断等研究提供了丰富素材</w:t>
        <w:br/>
        <w:t>• 为全国其他地区的民间金融监测提供了可复制的范式</w:t>
      </w:r>
    </w:p>
    <w:p>
      <w:pPr>
        <w:spacing w:after="120"/>
      </w:pPr>
      <w:r>
        <w:rPr>
          <w:b/>
          <w:sz w:val="22"/>
        </w:rPr>
        <w:t>5.4 产业应用场景</w:t>
      </w:r>
    </w:p>
    <w:p>
      <w:pPr>
        <w:spacing w:after="120"/>
      </w:pPr>
      <w:r>
        <w:rPr>
          <w:b w:val="0"/>
          <w:sz w:val="20"/>
        </w:rPr>
        <w:t>• 金融机构：基于CI判断民间金融市场景气度，优化信贷投放策略</w:t>
        <w:br/>
        <w:t>• 投资机构：CI趋势可作为区域经济活力的参考指标</w:t>
        <w:br/>
        <w:t>• 产业园区：结合CI评估区域营商环境与金融可获得性</w:t>
        <w:br/>
        <w:t>• 征信体系：CI分量指标可纳入中小企业信用评估模型</w:t>
      </w:r>
    </w:p>
    <w:p>
      <w:r>
        <w:br w:type="page"/>
      </w:r>
    </w:p>
    <w:p>
      <w:pPr>
        <w:pStyle w:val="Heading1"/>
      </w:pPr>
      <w:r>
        <w:rPr>
          <w:color w:val="1E293B"/>
        </w:rPr>
        <w:t>六、政策建议与展望</w:t>
      </w:r>
    </w:p>
    <w:p>
      <w:pPr>
        <w:spacing w:after="120"/>
      </w:pPr>
      <w:r>
        <w:rPr>
          <w:b w:val="0"/>
          <w:sz w:val="20"/>
        </w:rPr>
        <w:t>基于本期CI=46.9（初级共生）的评估结果，提出以下建议：</w:t>
      </w:r>
    </w:p>
    <w:p>
      <w:pPr>
        <w:spacing w:after="120"/>
      </w:pPr>
      <w:r>
        <w:rPr>
          <w:b w:val="0"/>
          <w:sz w:val="20"/>
        </w:rPr>
        <w:t>1. 推动民营经济提质增效：当前U2偏低是制约CI上升的主要因素。建议加大民营经济扶持力度，特别是在科技创新、数字化转型等方面提供精准政策支持。</w:t>
        <w:br/>
        <w:br/>
        <w:t>2. 优化民间金融结构：U1虽然相对较高，但内部结构不均衡。建议引导民间金融更多流向实体经济和中小微企业，提高融资效率。</w:t>
        <w:br/>
        <w:br/>
        <w:t>3. 加强两系统协同：耦合度C较高但同步度S偏低，说明两系统虽然相关但步调不一致。建议建立金融-经济协同监测机制。</w:t>
        <w:br/>
        <w:br/>
        <w:t>4. 完善数据采集：当前E系统县域数据缺失，建议扩展县域经济数据采集，实现区县级CI计算和比较。</w:t>
      </w:r>
    </w:p>
    <w:p/>
    <w:p>
      <w:pPr>
        <w:spacing w:after="120"/>
      </w:pPr>
      <w:r>
        <w:rPr>
          <w:b w:val="0"/>
          <w:color w:val="94A3B8"/>
          <w:sz w:val="18"/>
        </w:rPr>
        <w:t>— 报告结束 —</w:t>
      </w:r>
    </w:p>
    <w:p>
      <w:pPr>
        <w:spacing w:after="120"/>
      </w:pPr>
      <w:r>
        <w:rPr>
          <w:b w:val="0"/>
          <w:color w:val="94A3B8"/>
          <w:sz w:val="16"/>
        </w:rPr>
        <w:t>温州指数课题组 · 民间金融与民营经济共生发展指数研究</w:t>
      </w:r>
    </w:p>
    <w:p>
      <w:pPr>
        <w:spacing w:after="120"/>
      </w:pPr>
      <w:r>
        <w:rPr>
          <w:b w:val="0"/>
          <w:color w:val="94A3B8"/>
          <w:sz w:val="16"/>
        </w:rPr>
        <w:t>数据截止：2026年4月 | 模型版本：v3.0 | 生成时间：2026-06-06T21:26:06.830359</w:t>
      </w:r>
    </w:p>
    <w:sectPr w:rsidR="00FC693F" w:rsidRPr="0006063C" w:rsidSect="00034616">
      <w:pgSz w:w="11906" w:h="16838"/>
      <w:pgMar w:top="1134" w:right="1800"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eastAsia="仿宋"/>
      <w:rFonts w:ascii="仿宋" w:hAnsi="仿宋"/>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